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1134" w14:textId="77777777" w:rsidR="0005445C" w:rsidRPr="0005445C" w:rsidRDefault="0005445C" w:rsidP="000544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25F0AA3F" w14:textId="77777777" w:rsidR="0005445C" w:rsidRPr="0005445C" w:rsidRDefault="0005445C" w:rsidP="000544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1CBFE8C3" w14:textId="77777777" w:rsidR="0005445C" w:rsidRPr="0005445C" w:rsidRDefault="0005445C" w:rsidP="000544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~WMU Band Room, W-MU </w:t>
      </w: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July 8, 2020</w:t>
      </w:r>
    </w:p>
    <w:p w14:paraId="09514B52" w14:textId="77777777" w:rsidR="0005445C" w:rsidRPr="0005445C" w:rsidRDefault="0005445C" w:rsidP="0005445C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EC35166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761669E7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4E9B76E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52EE22F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12A7FC25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5180CD77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555726A5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B726EAC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400C7116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385B201A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1AEB4763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4F1E4E72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8B44F11" w14:textId="77777777" w:rsidR="0005445C" w:rsidRPr="0005445C" w:rsidRDefault="0005445C" w:rsidP="0005445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84A2F59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Policy Review - Buffington:  IASB Updates:  </w:t>
      </w:r>
      <w:r w:rsidRPr="0005445C">
        <w:rPr>
          <w:rFonts w:ascii="Times New Roman" w:eastAsia="Times New Roman" w:hAnsi="Times New Roman" w:cs="Times New Roman"/>
          <w:color w:val="000000"/>
          <w:sz w:val="20"/>
          <w:szCs w:val="20"/>
        </w:rPr>
        <w:t>409 Employee Leave; 414 Classified   </w:t>
      </w:r>
    </w:p>
    <w:p w14:paraId="71071995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Leave; 501 Student Absences; 601 School Day; 604.11 Online Learning Platforms; and 907 District  </w:t>
      </w:r>
    </w:p>
    <w:p w14:paraId="386D686F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Operation  </w:t>
      </w:r>
    </w:p>
    <w:p w14:paraId="584C352D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</w:rPr>
        <w:t>                     During a Public Health Emergency</w:t>
      </w:r>
    </w:p>
    <w:p w14:paraId="7EA0EACB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Activity Pass Prices for FY21</w:t>
      </w:r>
    </w:p>
    <w:p w14:paraId="7E5C59B7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F3.  Consider 2020-21 Employee Handbook Revisions</w:t>
      </w:r>
    </w:p>
    <w:p w14:paraId="37EAB7F1" w14:textId="77777777" w:rsidR="0005445C" w:rsidRPr="0005445C" w:rsidRDefault="0005445C" w:rsidP="0005445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2020-21 MS/HS Handbook Revisions</w:t>
      </w:r>
    </w:p>
    <w:p w14:paraId="429F7922" w14:textId="77777777" w:rsidR="0005445C" w:rsidRPr="0005445C" w:rsidRDefault="0005445C" w:rsidP="0005445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2020-21 Elementary Handbook Revisions</w:t>
      </w:r>
    </w:p>
    <w:p w14:paraId="7AF6EC5B" w14:textId="77777777" w:rsidR="0005445C" w:rsidRPr="0005445C" w:rsidRDefault="0005445C" w:rsidP="0005445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2020-21 IASB Legislative Priorities</w:t>
      </w:r>
    </w:p>
    <w:p w14:paraId="6DD66B8C" w14:textId="77777777" w:rsidR="0005445C" w:rsidRPr="0005445C" w:rsidRDefault="0005445C" w:rsidP="0005445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F7.  Consider Athletic Training Services Agreement </w:t>
      </w:r>
    </w:p>
    <w:p w14:paraId="55E8C9E0" w14:textId="77777777" w:rsidR="0005445C" w:rsidRPr="0005445C" w:rsidRDefault="0005445C" w:rsidP="0005445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F8.  Consider TL Stipends for R2L </w:t>
      </w:r>
    </w:p>
    <w:p w14:paraId="5E95857E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2F1AED" w14:textId="77777777" w:rsidR="0005445C" w:rsidRPr="0005445C" w:rsidRDefault="0005445C" w:rsidP="0005445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45C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2FA32000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5C"/>
    <w:rsid w:val="0005445C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1167"/>
  <w15:chartTrackingRefBased/>
  <w15:docId w15:val="{A50DA018-2B88-43DC-87AC-429A4764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45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2020-07-08T15:46:00Z</dcterms:created>
  <dcterms:modified xsi:type="dcterms:W3CDTF">2020-07-08T15:51:00Z</dcterms:modified>
</cp:coreProperties>
</file>